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16297010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661701">
        <w:rPr>
          <w:rFonts w:ascii="Lato" w:hAnsi="Lato"/>
          <w:sz w:val="20"/>
          <w:szCs w:val="20"/>
        </w:rPr>
        <w:t>9 czerwca</w:t>
      </w:r>
      <w:r w:rsidR="00051B72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  <w:r w:rsidR="00661701">
        <w:rPr>
          <w:rFonts w:ascii="Lato" w:hAnsi="Lato"/>
          <w:sz w:val="20"/>
          <w:szCs w:val="20"/>
        </w:rPr>
        <w:t xml:space="preserve">r. 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7A316D51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130EE4">
        <w:rPr>
          <w:rFonts w:ascii="Lato" w:hAnsi="Lato" w:cs="Arial"/>
          <w:b/>
          <w:bCs/>
          <w:sz w:val="20"/>
          <w:szCs w:val="20"/>
        </w:rPr>
        <w:t>ń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130EE4">
        <w:rPr>
          <w:rFonts w:ascii="Lato" w:hAnsi="Lato" w:cs="Arial"/>
          <w:b/>
          <w:bCs/>
          <w:sz w:val="20"/>
          <w:szCs w:val="20"/>
        </w:rPr>
        <w:t>nych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A15BDE">
        <w:rPr>
          <w:rFonts w:ascii="Lato" w:hAnsi="Lato" w:cs="Arial"/>
          <w:b/>
          <w:bCs/>
          <w:sz w:val="20"/>
          <w:szCs w:val="20"/>
        </w:rPr>
        <w:t>„</w:t>
      </w:r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Modernizacja lobby zgodnie z </w:t>
      </w:r>
      <w:proofErr w:type="spellStart"/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brandem</w:t>
      </w:r>
      <w:proofErr w:type="spellEnd"/>
      <w:r w:rsidR="00130EE4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130EE4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bookmarkStart w:id="0" w:name="_Hlk100825155"/>
      <w:r w:rsidR="00130EE4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</w:t>
      </w:r>
      <w:bookmarkEnd w:id="0"/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130EE4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proofErr w:type="spellStart"/>
      <w:r w:rsidR="00130EE4" w:rsidRPr="006B4583">
        <w:rPr>
          <w:rFonts w:ascii="Lato" w:hAnsi="Lato" w:cs="Times New Roman"/>
          <w:b/>
          <w:bCs/>
          <w:sz w:val="20"/>
          <w:szCs w:val="20"/>
        </w:rPr>
        <w:t>Golden</w:t>
      </w:r>
      <w:proofErr w:type="spellEnd"/>
      <w:r w:rsidR="00130EE4" w:rsidRPr="006B4583">
        <w:rPr>
          <w:rFonts w:ascii="Lato" w:hAnsi="Lato" w:cs="Times New Roman"/>
          <w:b/>
          <w:bCs/>
          <w:sz w:val="20"/>
          <w:szCs w:val="20"/>
        </w:rPr>
        <w:t xml:space="preserve"> </w:t>
      </w:r>
      <w:proofErr w:type="spellStart"/>
      <w:r w:rsidR="00130EE4" w:rsidRPr="006B4583">
        <w:rPr>
          <w:rFonts w:ascii="Lato" w:hAnsi="Lato" w:cs="Times New Roman"/>
          <w:b/>
          <w:bCs/>
          <w:sz w:val="20"/>
          <w:szCs w:val="20"/>
        </w:rPr>
        <w:t>Tulip</w:t>
      </w:r>
      <w:proofErr w:type="spellEnd"/>
      <w:r w:rsidR="00130EE4" w:rsidRPr="006B4583">
        <w:rPr>
          <w:rFonts w:ascii="Lato" w:hAnsi="Lato" w:cs="Times New Roman"/>
          <w:b/>
          <w:bCs/>
          <w:sz w:val="20"/>
          <w:szCs w:val="20"/>
        </w:rPr>
        <w:t xml:space="preserve"> Międzyzdroje </w:t>
      </w:r>
      <w:proofErr w:type="spellStart"/>
      <w:r w:rsidR="00130EE4" w:rsidRPr="006B4583">
        <w:rPr>
          <w:rFonts w:ascii="Lato" w:hAnsi="Lato" w:cs="Times New Roman"/>
          <w:b/>
          <w:bCs/>
          <w:sz w:val="20"/>
          <w:szCs w:val="20"/>
        </w:rPr>
        <w:t>Residence</w:t>
      </w:r>
      <w:proofErr w:type="spellEnd"/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61162D1" w14:textId="6A3FF50B" w:rsidR="00F32F05" w:rsidRPr="00D37ACB" w:rsidRDefault="00F32F05" w:rsidP="00661701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 xml:space="preserve">zarejestrowaną w rejestrze przedsiębiorców przez Sąd Rejonowy dla m.st. Warszawy w Warszawie, XIV Wydział Gospodarczy Krajowego Rejestru Sądowego pod numerem </w:t>
      </w:r>
      <w:r w:rsidR="00661701">
        <w:rPr>
          <w:rFonts w:ascii="Lato" w:eastAsia="MS Mincho" w:hAnsi="Lato"/>
          <w:sz w:val="20"/>
          <w:szCs w:val="20"/>
        </w:rPr>
        <w:br/>
      </w:r>
      <w:r w:rsidRPr="00D37ACB">
        <w:rPr>
          <w:rFonts w:ascii="Lato" w:eastAsia="MS Mincho" w:hAnsi="Lato"/>
          <w:sz w:val="20"/>
          <w:szCs w:val="20"/>
        </w:rPr>
        <w:t>KRS 0000047774</w:t>
      </w:r>
      <w:r w:rsidR="00661701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="00661701">
        <w:rPr>
          <w:rFonts w:ascii="Lato" w:hAnsi="Lato" w:cs="Times New Roman"/>
          <w:sz w:val="20"/>
          <w:szCs w:val="20"/>
        </w:rPr>
        <w:br/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77777777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40E5B510" w14:textId="37EB409A" w:rsidR="00130EE4" w:rsidRPr="00130EE4" w:rsidRDefault="00130EE4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b/>
          <w:sz w:val="20"/>
          <w:szCs w:val="20"/>
        </w:rPr>
      </w:pPr>
      <w:r w:rsidRPr="009C4253">
        <w:rPr>
          <w:rFonts w:ascii="Lato" w:hAnsi="Lato"/>
          <w:bCs/>
          <w:sz w:val="20"/>
          <w:szCs w:val="20"/>
        </w:rPr>
        <w:t>realizacja prac</w:t>
      </w:r>
      <w:r w:rsidRPr="00EC3932">
        <w:rPr>
          <w:rFonts w:ascii="Lato" w:hAnsi="Lato"/>
          <w:bCs/>
          <w:sz w:val="20"/>
          <w:szCs w:val="20"/>
        </w:rPr>
        <w:t xml:space="preserve"> w formule Zaprojektuj i Wybuduj „pod klucz” polegająca na wykonaniu projektu budowlano-wykonawczego, aranżacji wnętrz oraz robót budowlanych i wykończeniowych związanych z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 xml:space="preserve"> modernizacją lobby zgodnie z </w:t>
      </w:r>
      <w:proofErr w:type="spellStart"/>
      <w:r w:rsidRPr="00EC3932">
        <w:rPr>
          <w:rFonts w:ascii="Lato" w:hAnsi="Lato" w:cs="Calibri"/>
          <w:bCs/>
          <w:color w:val="000000"/>
          <w:sz w:val="20"/>
          <w:szCs w:val="20"/>
        </w:rPr>
        <w:t>brandem</w:t>
      </w:r>
      <w:proofErr w:type="spellEnd"/>
      <w:r w:rsidRPr="00EC3932">
        <w:rPr>
          <w:rFonts w:ascii="Lato" w:hAnsi="Lato" w:cs="Arial"/>
          <w:bCs/>
          <w:sz w:val="20"/>
          <w:szCs w:val="20"/>
        </w:rPr>
        <w:t xml:space="preserve">,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przeniesienie Baru, przebudowa restauracji,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modernizacja szatni pracowniczych</w:t>
      </w:r>
      <w:r w:rsidRPr="00EC3932">
        <w:rPr>
          <w:rFonts w:ascii="Lato" w:hAnsi="Lato"/>
          <w:bCs/>
          <w:sz w:val="20"/>
          <w:szCs w:val="20"/>
        </w:rPr>
        <w:t xml:space="preserve"> w </w:t>
      </w:r>
      <w:proofErr w:type="spellStart"/>
      <w:r w:rsidRPr="00EC3932">
        <w:rPr>
          <w:rFonts w:ascii="Lato" w:hAnsi="Lato" w:cs="Times New Roman"/>
          <w:bCs/>
          <w:sz w:val="20"/>
          <w:szCs w:val="20"/>
        </w:rPr>
        <w:t>Golden</w:t>
      </w:r>
      <w:proofErr w:type="spellEnd"/>
      <w:r w:rsidRPr="00EC3932">
        <w:rPr>
          <w:rFonts w:ascii="Lato" w:hAnsi="Lato" w:cs="Times New Roman"/>
          <w:bCs/>
          <w:sz w:val="20"/>
          <w:szCs w:val="20"/>
        </w:rPr>
        <w:t xml:space="preserve"> </w:t>
      </w:r>
      <w:proofErr w:type="spellStart"/>
      <w:r w:rsidRPr="00EC3932">
        <w:rPr>
          <w:rFonts w:ascii="Lato" w:hAnsi="Lato" w:cs="Times New Roman"/>
          <w:bCs/>
          <w:sz w:val="20"/>
          <w:szCs w:val="20"/>
        </w:rPr>
        <w:t>Tulip</w:t>
      </w:r>
      <w:proofErr w:type="spellEnd"/>
      <w:r w:rsidRPr="00EC3932">
        <w:rPr>
          <w:rFonts w:ascii="Lato" w:hAnsi="Lato" w:cs="Times New Roman"/>
          <w:bCs/>
          <w:sz w:val="20"/>
          <w:szCs w:val="20"/>
        </w:rPr>
        <w:t xml:space="preserve"> Międzyzdroje </w:t>
      </w:r>
      <w:proofErr w:type="spellStart"/>
      <w:r w:rsidRPr="00EC3932">
        <w:rPr>
          <w:rFonts w:ascii="Lato" w:hAnsi="Lato" w:cs="Times New Roman"/>
          <w:bCs/>
          <w:sz w:val="20"/>
          <w:szCs w:val="20"/>
        </w:rPr>
        <w:t>Residence</w:t>
      </w:r>
      <w:proofErr w:type="spellEnd"/>
      <w:r w:rsidRPr="00EC3932">
        <w:rPr>
          <w:rFonts w:ascii="Lato" w:hAnsi="Lato" w:cs="Times New Roman"/>
          <w:bCs/>
          <w:sz w:val="20"/>
          <w:szCs w:val="20"/>
        </w:rPr>
        <w:t xml:space="preserve"> w Międzyzdrojach</w:t>
      </w:r>
      <w:r w:rsidRPr="00EC3932">
        <w:rPr>
          <w:rFonts w:ascii="Lato" w:hAnsi="Lato"/>
          <w:bCs/>
          <w:sz w:val="20"/>
          <w:szCs w:val="20"/>
        </w:rPr>
        <w:t xml:space="preserve"> wraz z uzyskaniem wszelkich niezbędnych decyzji administracyjnych</w:t>
      </w:r>
      <w:r w:rsidRPr="00EC3932">
        <w:rPr>
          <w:rFonts w:ascii="Lato" w:hAnsi="Lato" w:cs="Times New Roman"/>
          <w:bCs/>
          <w:sz w:val="20"/>
          <w:szCs w:val="20"/>
        </w:rPr>
        <w:t xml:space="preserve"> W zakresie podanym w Załączniku nr 1 Opis przedmiotu zamówienia.</w:t>
      </w:r>
    </w:p>
    <w:p w14:paraId="71538973" w14:textId="4F7F11B6" w:rsidR="00937EA2" w:rsidRPr="00B9186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 Oferowany sprzęt musi spełniać wszystkie minimalne parametry określone w załączniku.</w:t>
      </w:r>
    </w:p>
    <w:p w14:paraId="2CCCFF08" w14:textId="752B2A20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Zamawiający wymaga, aby dostarczony </w:t>
      </w:r>
      <w:r w:rsidR="00DC4DC5">
        <w:rPr>
          <w:rFonts w:ascii="Lato" w:hAnsi="Lato"/>
          <w:sz w:val="20"/>
          <w:szCs w:val="20"/>
        </w:rPr>
        <w:t xml:space="preserve">sprzęt i wyposażenie </w:t>
      </w:r>
      <w:r w:rsidRPr="00595272">
        <w:rPr>
          <w:rFonts w:ascii="Lato" w:hAnsi="Lato"/>
          <w:sz w:val="20"/>
          <w:szCs w:val="20"/>
        </w:rPr>
        <w:t xml:space="preserve">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</w:t>
      </w:r>
      <w:r w:rsidR="00DC4DC5">
        <w:rPr>
          <w:rFonts w:ascii="Lato" w:hAnsi="Lato"/>
          <w:sz w:val="20"/>
          <w:szCs w:val="20"/>
        </w:rPr>
        <w:t xml:space="preserve">i wyposażenia </w:t>
      </w:r>
      <w:r w:rsidRPr="00595272">
        <w:rPr>
          <w:rFonts w:ascii="Lato" w:hAnsi="Lato"/>
          <w:sz w:val="20"/>
          <w:szCs w:val="20"/>
        </w:rPr>
        <w:t>powystawowego.</w:t>
      </w:r>
    </w:p>
    <w:p w14:paraId="612F77AB" w14:textId="7DAC20B8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urządzeń</w:t>
      </w:r>
      <w:r w:rsidR="00DC4DC5">
        <w:rPr>
          <w:rFonts w:ascii="Lato" w:hAnsi="Lato" w:cs="Times New Roman"/>
          <w:sz w:val="20"/>
          <w:szCs w:val="20"/>
        </w:rPr>
        <w:t xml:space="preserve"> i wyposażenia</w:t>
      </w:r>
      <w:r w:rsidRPr="00E60EE1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50D636F9" w:rsidR="00DE4FF9" w:rsidRDefault="00BC2EA6" w:rsidP="00E83802">
      <w:pPr>
        <w:pStyle w:val="Akapitzlist"/>
        <w:numPr>
          <w:ilvl w:val="0"/>
          <w:numId w:val="14"/>
        </w:numPr>
        <w:spacing w:before="24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nastąpi, po wcześniejszym uzgodnieniu z Zamawiającym.</w:t>
      </w:r>
    </w:p>
    <w:p w14:paraId="4507C6DF" w14:textId="77777777" w:rsidR="00E83802" w:rsidRPr="00595272" w:rsidRDefault="00E83802" w:rsidP="00E83802">
      <w:pPr>
        <w:pStyle w:val="Akapitzlist"/>
        <w:spacing w:before="24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12A6102A" w14:textId="570BC6D6" w:rsidR="00DE4FF9" w:rsidRPr="00E83802" w:rsidRDefault="000C0316" w:rsidP="00E83802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</w:t>
      </w:r>
    </w:p>
    <w:p w14:paraId="71723D8A" w14:textId="79D7DD40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3E42C27C" w:rsidR="00D43F41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na terenie </w:t>
      </w:r>
      <w:proofErr w:type="spellStart"/>
      <w:r w:rsidRPr="00002B39">
        <w:rPr>
          <w:rFonts w:ascii="Lato" w:hAnsi="Lato"/>
          <w:sz w:val="20"/>
          <w:szCs w:val="20"/>
        </w:rPr>
        <w:t>Golden</w:t>
      </w:r>
      <w:proofErr w:type="spellEnd"/>
      <w:r w:rsidRPr="00002B39">
        <w:rPr>
          <w:rFonts w:ascii="Lato" w:hAnsi="Lato"/>
          <w:sz w:val="20"/>
          <w:szCs w:val="20"/>
        </w:rPr>
        <w:t xml:space="preserve"> </w:t>
      </w:r>
      <w:proofErr w:type="spellStart"/>
      <w:r w:rsidRPr="00002B39">
        <w:rPr>
          <w:rFonts w:ascii="Lato" w:hAnsi="Lato"/>
          <w:sz w:val="20"/>
          <w:szCs w:val="20"/>
        </w:rPr>
        <w:t>Tulip</w:t>
      </w:r>
      <w:proofErr w:type="spellEnd"/>
      <w:r w:rsidRPr="00002B39">
        <w:rPr>
          <w:rFonts w:ascii="Lato" w:hAnsi="Lato"/>
          <w:sz w:val="20"/>
          <w:szCs w:val="20"/>
        </w:rPr>
        <w:t xml:space="preserve"> Międzyzdroje </w:t>
      </w:r>
      <w:proofErr w:type="spellStart"/>
      <w:r w:rsidRPr="00002B39">
        <w:rPr>
          <w:rFonts w:ascii="Lato" w:hAnsi="Lato"/>
          <w:sz w:val="20"/>
          <w:szCs w:val="20"/>
        </w:rPr>
        <w:t>Residence</w:t>
      </w:r>
      <w:proofErr w:type="spellEnd"/>
      <w:r w:rsidRPr="00002B39">
        <w:rPr>
          <w:rFonts w:ascii="Lato" w:hAnsi="Lato"/>
          <w:sz w:val="20"/>
          <w:szCs w:val="20"/>
        </w:rPr>
        <w:t xml:space="preserve"> z siedzibą w Międzyzdrojach</w:t>
      </w:r>
      <w:r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br/>
      </w:r>
      <w:r w:rsidR="00661701">
        <w:rPr>
          <w:rFonts w:ascii="Lato" w:hAnsi="Lato" w:cs="Times New Roman"/>
          <w:sz w:val="20"/>
          <w:szCs w:val="20"/>
        </w:rPr>
        <w:t xml:space="preserve">Ewa Szczepańska </w:t>
      </w:r>
      <w:r w:rsidR="00390033">
        <w:rPr>
          <w:rFonts w:ascii="Lato" w:hAnsi="Lato" w:cs="Times New Roman"/>
          <w:sz w:val="20"/>
          <w:szCs w:val="20"/>
        </w:rPr>
        <w:t xml:space="preserve">- </w:t>
      </w:r>
      <w:r w:rsidR="00661701">
        <w:rPr>
          <w:rFonts w:ascii="Lato" w:hAnsi="Lato" w:cs="Times New Roman"/>
          <w:sz w:val="20"/>
          <w:szCs w:val="20"/>
        </w:rPr>
        <w:t>Dyrektor</w:t>
      </w:r>
      <w:r w:rsidRPr="00002B39">
        <w:rPr>
          <w:rFonts w:ascii="Lato" w:hAnsi="Lato" w:cs="Times New Roman"/>
          <w:sz w:val="20"/>
          <w:szCs w:val="20"/>
        </w:rPr>
        <w:t>,</w:t>
      </w:r>
      <w:r w:rsidR="00661701">
        <w:rPr>
          <w:rFonts w:ascii="Lato" w:hAnsi="Lato" w:cs="Times New Roman"/>
          <w:sz w:val="20"/>
          <w:szCs w:val="20"/>
        </w:rPr>
        <w:t xml:space="preserve"> </w:t>
      </w:r>
      <w:r w:rsidRPr="00002B39">
        <w:rPr>
          <w:rFonts w:ascii="Lato" w:hAnsi="Lato" w:cs="Times New Roman"/>
          <w:sz w:val="20"/>
          <w:szCs w:val="20"/>
        </w:rPr>
        <w:t>e-mail</w:t>
      </w:r>
      <w:r w:rsidRPr="00661701">
        <w:rPr>
          <w:rFonts w:ascii="Lato" w:hAnsi="Lato" w:cs="Times New Roman"/>
          <w:sz w:val="20"/>
          <w:szCs w:val="20"/>
        </w:rPr>
        <w:t xml:space="preserve">: </w:t>
      </w:r>
      <w:hyperlink r:id="rId8" w:history="1">
        <w:r w:rsidR="00661701" w:rsidRPr="00661701">
          <w:rPr>
            <w:rStyle w:val="Hipercze"/>
            <w:rFonts w:ascii="Lato" w:hAnsi="Lato"/>
            <w:color w:val="auto"/>
            <w:sz w:val="20"/>
            <w:szCs w:val="20"/>
            <w:u w:val="none"/>
            <w:lang w:eastAsia="pl-PL"/>
          </w:rPr>
          <w:t>manager@goldentulipmiedzyzdroje.com</w:t>
        </w:r>
      </w:hyperlink>
      <w:r w:rsidRPr="00661701">
        <w:rPr>
          <w:rFonts w:ascii="Lato" w:hAnsi="Lato" w:cs="Helv"/>
          <w:sz w:val="20"/>
          <w:szCs w:val="20"/>
        </w:rPr>
        <w:t>,</w:t>
      </w:r>
      <w:r w:rsidR="00390033" w:rsidRPr="00661701">
        <w:rPr>
          <w:rFonts w:ascii="Helv" w:hAnsi="Helv" w:cs="Helv"/>
          <w:sz w:val="18"/>
          <w:szCs w:val="18"/>
        </w:rPr>
        <w:t xml:space="preserve"> </w:t>
      </w:r>
      <w:r w:rsidR="00661701">
        <w:rPr>
          <w:rFonts w:ascii="Helv" w:hAnsi="Helv" w:cs="Helv"/>
          <w:sz w:val="18"/>
          <w:szCs w:val="18"/>
        </w:rPr>
        <w:br/>
      </w:r>
      <w:r w:rsidRPr="00002B39">
        <w:rPr>
          <w:rFonts w:ascii="Lato" w:hAnsi="Lato" w:cs="Times New Roman"/>
          <w:sz w:val="20"/>
          <w:szCs w:val="20"/>
        </w:rPr>
        <w:t xml:space="preserve">tel.: </w:t>
      </w:r>
      <w:r w:rsidR="00661701">
        <w:rPr>
          <w:rFonts w:ascii="Lato" w:hAnsi="Lato" w:cs="Times New Roman"/>
          <w:sz w:val="20"/>
          <w:szCs w:val="20"/>
        </w:rPr>
        <w:t>519 749 679</w:t>
      </w:r>
      <w:r w:rsidR="002B583D">
        <w:rPr>
          <w:rFonts w:ascii="Lato" w:hAnsi="Lato" w:cs="Times New Roman"/>
          <w:sz w:val="20"/>
          <w:szCs w:val="20"/>
        </w:rPr>
        <w:t>;</w:t>
      </w:r>
    </w:p>
    <w:p w14:paraId="7E4B1819" w14:textId="2EFCD333" w:rsidR="00C475F6" w:rsidRDefault="00050E7E" w:rsidP="00002B39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2A9841CA" w14:textId="69AF73B0" w:rsidR="00390033" w:rsidRPr="00595272" w:rsidRDefault="00390033" w:rsidP="00F65842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Termin wykonania wizji lokalnych:</w:t>
      </w:r>
    </w:p>
    <w:p w14:paraId="2E20B39B" w14:textId="3518B8E9" w:rsidR="00390033" w:rsidRPr="00390033" w:rsidRDefault="00390033" w:rsidP="00F65842">
      <w:pPr>
        <w:spacing w:after="0" w:line="276" w:lineRule="auto"/>
        <w:ind w:left="1701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1.7.1</w:t>
      </w:r>
      <w:r>
        <w:rPr>
          <w:rFonts w:ascii="Lato" w:hAnsi="Lato"/>
          <w:sz w:val="20"/>
          <w:szCs w:val="20"/>
        </w:rPr>
        <w:tab/>
      </w:r>
      <w:proofErr w:type="spellStart"/>
      <w:r w:rsidRPr="00390033">
        <w:rPr>
          <w:rFonts w:ascii="Lato" w:hAnsi="Lato"/>
          <w:sz w:val="20"/>
          <w:szCs w:val="20"/>
        </w:rPr>
        <w:t>Golden</w:t>
      </w:r>
      <w:proofErr w:type="spellEnd"/>
      <w:r w:rsidRPr="00390033">
        <w:rPr>
          <w:rFonts w:ascii="Lato" w:hAnsi="Lato"/>
          <w:sz w:val="20"/>
          <w:szCs w:val="20"/>
        </w:rPr>
        <w:t xml:space="preserve"> </w:t>
      </w:r>
      <w:proofErr w:type="spellStart"/>
      <w:r w:rsidRPr="00390033">
        <w:rPr>
          <w:rFonts w:ascii="Lato" w:hAnsi="Lato"/>
          <w:sz w:val="20"/>
          <w:szCs w:val="20"/>
        </w:rPr>
        <w:t>Tulip</w:t>
      </w:r>
      <w:proofErr w:type="spellEnd"/>
      <w:r w:rsidRPr="00390033">
        <w:rPr>
          <w:rFonts w:ascii="Lato" w:hAnsi="Lato"/>
          <w:sz w:val="20"/>
          <w:szCs w:val="20"/>
        </w:rPr>
        <w:t xml:space="preserve"> Międzyzdroje </w:t>
      </w:r>
      <w:proofErr w:type="spellStart"/>
      <w:r w:rsidRPr="00390033">
        <w:rPr>
          <w:rFonts w:ascii="Lato" w:hAnsi="Lato"/>
          <w:sz w:val="20"/>
          <w:szCs w:val="20"/>
        </w:rPr>
        <w:t>Residence</w:t>
      </w:r>
      <w:proofErr w:type="spellEnd"/>
      <w:r w:rsidRPr="00390033">
        <w:rPr>
          <w:rFonts w:ascii="Lato" w:hAnsi="Lato"/>
          <w:sz w:val="20"/>
          <w:szCs w:val="20"/>
        </w:rPr>
        <w:t xml:space="preserve"> z siedzibą w Międzyzdrojach do </w:t>
      </w:r>
      <w:r w:rsidR="00D92A92">
        <w:rPr>
          <w:rFonts w:ascii="Lato" w:hAnsi="Lato"/>
          <w:sz w:val="20"/>
          <w:szCs w:val="20"/>
        </w:rPr>
        <w:t>30 czerwca</w:t>
      </w:r>
      <w:r w:rsidRPr="00390033">
        <w:rPr>
          <w:rFonts w:ascii="Lato" w:hAnsi="Lato"/>
          <w:sz w:val="20"/>
          <w:szCs w:val="20"/>
        </w:rPr>
        <w:t xml:space="preserve"> 2022r.</w:t>
      </w:r>
    </w:p>
    <w:p w14:paraId="563440E2" w14:textId="2BB45ED1" w:rsidR="00050E7E" w:rsidRPr="00595272" w:rsidRDefault="00BC2EA6" w:rsidP="00F65842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>, przy czym Zamawiający nie gwarantuje iż wszystkie uwagi zostaną zawarte w ostatecznej wersji umowy</w:t>
      </w:r>
      <w:r w:rsidR="00050E7E" w:rsidRPr="00595272">
        <w:rPr>
          <w:rFonts w:ascii="Lato" w:hAnsi="Lato"/>
          <w:sz w:val="20"/>
          <w:szCs w:val="20"/>
        </w:rPr>
        <w:t>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26FE77D6" w14:textId="4E5A9682" w:rsidR="006007F4" w:rsidRPr="00595272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3C4C113E" w14:textId="77777777" w:rsidR="00051B72" w:rsidRPr="00595272" w:rsidRDefault="00051B72" w:rsidP="00F6584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5A6C1F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64272D0A" w:rsidR="00894B33" w:rsidRDefault="001B7875" w:rsidP="005A6C1F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002B39">
        <w:rPr>
          <w:rFonts w:ascii="Lato" w:hAnsi="Lato"/>
          <w:sz w:val="20"/>
          <w:szCs w:val="20"/>
        </w:rPr>
        <w:t>Golden</w:t>
      </w:r>
      <w:proofErr w:type="spellEnd"/>
      <w:r w:rsidRPr="00002B39">
        <w:rPr>
          <w:rFonts w:ascii="Lato" w:hAnsi="Lato"/>
          <w:sz w:val="20"/>
          <w:szCs w:val="20"/>
        </w:rPr>
        <w:t xml:space="preserve"> </w:t>
      </w:r>
      <w:proofErr w:type="spellStart"/>
      <w:r w:rsidRPr="00002B39">
        <w:rPr>
          <w:rFonts w:ascii="Lato" w:hAnsi="Lato"/>
          <w:sz w:val="20"/>
          <w:szCs w:val="20"/>
        </w:rPr>
        <w:t>Tulip</w:t>
      </w:r>
      <w:proofErr w:type="spellEnd"/>
      <w:r w:rsidRPr="00002B39">
        <w:rPr>
          <w:rFonts w:ascii="Lato" w:hAnsi="Lato"/>
          <w:sz w:val="20"/>
          <w:szCs w:val="20"/>
        </w:rPr>
        <w:t xml:space="preserve"> Międzyzdroje </w:t>
      </w:r>
      <w:proofErr w:type="spellStart"/>
      <w:r w:rsidRPr="00002B39">
        <w:rPr>
          <w:rFonts w:ascii="Lato" w:hAnsi="Lato"/>
          <w:sz w:val="20"/>
          <w:szCs w:val="20"/>
        </w:rPr>
        <w:t>Residence</w:t>
      </w:r>
      <w:proofErr w:type="spellEnd"/>
      <w:r w:rsidRPr="00002B39">
        <w:rPr>
          <w:rFonts w:ascii="Lato" w:hAnsi="Lato"/>
          <w:sz w:val="20"/>
          <w:szCs w:val="20"/>
        </w:rPr>
        <w:t xml:space="preserve"> z siedzibą w Międzyzdrojach</w:t>
      </w:r>
      <w:r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 w:rsidR="006007F4">
        <w:rPr>
          <w:rFonts w:ascii="Lato" w:hAnsi="Lato"/>
          <w:sz w:val="20"/>
          <w:szCs w:val="20"/>
        </w:rPr>
        <w:t>20</w:t>
      </w:r>
      <w:r w:rsidR="005A7238"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grudnia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4DF7D0F8" w14:textId="77777777" w:rsidR="005A6C1F" w:rsidRPr="00595272" w:rsidRDefault="005A6C1F" w:rsidP="005A6C1F">
      <w:pPr>
        <w:pStyle w:val="Akapitzlist"/>
        <w:spacing w:line="276" w:lineRule="auto"/>
        <w:ind w:left="1134"/>
        <w:jc w:val="both"/>
        <w:rPr>
          <w:rFonts w:ascii="Lato" w:hAnsi="Lato"/>
          <w:sz w:val="20"/>
          <w:szCs w:val="20"/>
        </w:rPr>
      </w:pP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5C259B96" w:rsidR="00894B33" w:rsidRDefault="00A16EAB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Calibri"/>
          <w:bCs/>
          <w:color w:val="000000"/>
          <w:sz w:val="20"/>
          <w:szCs w:val="20"/>
        </w:rPr>
        <w:t>M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 xml:space="preserve">odernizacją lobby zgodnie z </w:t>
      </w:r>
      <w:proofErr w:type="spellStart"/>
      <w:r w:rsidRPr="00EC3932">
        <w:rPr>
          <w:rFonts w:ascii="Lato" w:hAnsi="Lato" w:cs="Calibri"/>
          <w:bCs/>
          <w:color w:val="000000"/>
          <w:sz w:val="20"/>
          <w:szCs w:val="20"/>
        </w:rPr>
        <w:t>brandem</w:t>
      </w:r>
      <w:proofErr w:type="spellEnd"/>
      <w:r w:rsidRPr="00EC3932">
        <w:rPr>
          <w:rFonts w:ascii="Lato" w:hAnsi="Lato" w:cs="Arial"/>
          <w:bCs/>
          <w:sz w:val="20"/>
          <w:szCs w:val="20"/>
        </w:rPr>
        <w:t xml:space="preserve">,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przeniesienie Baru, przebudowa restauracji,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modernizacja szatni pracowniczych</w:t>
      </w:r>
      <w:r w:rsidRPr="00EC3932">
        <w:rPr>
          <w:rFonts w:ascii="Lato" w:hAnsi="Lato"/>
          <w:bCs/>
          <w:sz w:val="20"/>
          <w:szCs w:val="20"/>
        </w:rPr>
        <w:t xml:space="preserve"> w </w:t>
      </w:r>
      <w:proofErr w:type="spellStart"/>
      <w:r w:rsidRPr="00EC3932">
        <w:rPr>
          <w:rFonts w:ascii="Lato" w:hAnsi="Lato" w:cs="Times New Roman"/>
          <w:bCs/>
          <w:sz w:val="20"/>
          <w:szCs w:val="20"/>
        </w:rPr>
        <w:t>Golden</w:t>
      </w:r>
      <w:proofErr w:type="spellEnd"/>
      <w:r w:rsidRPr="00EC3932">
        <w:rPr>
          <w:rFonts w:ascii="Lato" w:hAnsi="Lato" w:cs="Times New Roman"/>
          <w:bCs/>
          <w:sz w:val="20"/>
          <w:szCs w:val="20"/>
        </w:rPr>
        <w:t xml:space="preserve"> </w:t>
      </w:r>
      <w:proofErr w:type="spellStart"/>
      <w:r w:rsidRPr="00EC3932">
        <w:rPr>
          <w:rFonts w:ascii="Lato" w:hAnsi="Lato" w:cs="Times New Roman"/>
          <w:bCs/>
          <w:sz w:val="20"/>
          <w:szCs w:val="20"/>
        </w:rPr>
        <w:t>Tulip</w:t>
      </w:r>
      <w:proofErr w:type="spellEnd"/>
      <w:r w:rsidRPr="00EC3932">
        <w:rPr>
          <w:rFonts w:ascii="Lato" w:hAnsi="Lato" w:cs="Times New Roman"/>
          <w:bCs/>
          <w:sz w:val="20"/>
          <w:szCs w:val="20"/>
        </w:rPr>
        <w:t xml:space="preserve"> Międzyzdroje </w:t>
      </w:r>
      <w:proofErr w:type="spellStart"/>
      <w:r w:rsidRPr="00EC3932">
        <w:rPr>
          <w:rFonts w:ascii="Lato" w:hAnsi="Lato" w:cs="Times New Roman"/>
          <w:bCs/>
          <w:sz w:val="20"/>
          <w:szCs w:val="20"/>
        </w:rPr>
        <w:t>Residence</w:t>
      </w:r>
      <w:proofErr w:type="spellEnd"/>
      <w:r w:rsidRPr="00EC3932">
        <w:rPr>
          <w:rFonts w:ascii="Lato" w:hAnsi="Lato" w:cs="Times New Roman"/>
          <w:bCs/>
          <w:sz w:val="20"/>
          <w:szCs w:val="20"/>
        </w:rPr>
        <w:t xml:space="preserve"> w Międzyzdrojach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="001B7875" w:rsidRPr="00002B39">
        <w:rPr>
          <w:rFonts w:ascii="Lato" w:hAnsi="Lato"/>
          <w:sz w:val="20"/>
          <w:szCs w:val="20"/>
        </w:rPr>
        <w:t xml:space="preserve">w </w:t>
      </w:r>
      <w:r w:rsidR="001B7875" w:rsidRPr="00002B39">
        <w:rPr>
          <w:rFonts w:ascii="Lato" w:hAnsi="Lato" w:cs="Times New Roman"/>
          <w:sz w:val="20"/>
          <w:szCs w:val="20"/>
        </w:rPr>
        <w:t xml:space="preserve">Polski Holding Hotelowy sp. z o.o. z siedzibą w Warszawie Oddział </w:t>
      </w:r>
      <w:proofErr w:type="spellStart"/>
      <w:r w:rsidR="001B7875" w:rsidRPr="00002B39">
        <w:rPr>
          <w:rFonts w:ascii="Lato" w:hAnsi="Lato" w:cs="Times New Roman"/>
          <w:sz w:val="20"/>
          <w:szCs w:val="20"/>
        </w:rPr>
        <w:t>Golden</w:t>
      </w:r>
      <w:proofErr w:type="spellEnd"/>
      <w:r w:rsidR="001B7875" w:rsidRPr="00002B39">
        <w:rPr>
          <w:rFonts w:ascii="Lato" w:hAnsi="Lato" w:cs="Times New Roman"/>
          <w:sz w:val="20"/>
          <w:szCs w:val="20"/>
        </w:rPr>
        <w:t xml:space="preserve"> </w:t>
      </w:r>
      <w:proofErr w:type="spellStart"/>
      <w:r w:rsidR="001B7875" w:rsidRPr="00002B39">
        <w:rPr>
          <w:rFonts w:ascii="Lato" w:hAnsi="Lato" w:cs="Times New Roman"/>
          <w:sz w:val="20"/>
          <w:szCs w:val="20"/>
        </w:rPr>
        <w:t>Tulip</w:t>
      </w:r>
      <w:proofErr w:type="spellEnd"/>
      <w:r w:rsidR="001B7875" w:rsidRPr="00002B39">
        <w:rPr>
          <w:rFonts w:ascii="Lato" w:hAnsi="Lato" w:cs="Times New Roman"/>
          <w:sz w:val="20"/>
          <w:szCs w:val="20"/>
        </w:rPr>
        <w:t xml:space="preserve"> Międzyzdroje </w:t>
      </w:r>
      <w:proofErr w:type="spellStart"/>
      <w:r w:rsidR="001B7875" w:rsidRPr="00002B39">
        <w:rPr>
          <w:rFonts w:ascii="Lato" w:hAnsi="Lato" w:cs="Times New Roman"/>
          <w:sz w:val="20"/>
          <w:szCs w:val="20"/>
        </w:rPr>
        <w:t>Residence</w:t>
      </w:r>
      <w:proofErr w:type="spellEnd"/>
      <w:r w:rsidR="001B7875" w:rsidRPr="00002B39">
        <w:rPr>
          <w:rFonts w:ascii="Lato" w:hAnsi="Lato" w:cs="Times New Roman"/>
          <w:sz w:val="20"/>
          <w:szCs w:val="20"/>
        </w:rPr>
        <w:t xml:space="preserve"> z siedzibą w Międzyzdrojach, ul. Gryfa Pomorskiego 79, 72-500 Międzyzdroje</w:t>
      </w:r>
      <w:r w:rsidR="001B7875" w:rsidRPr="00002B39">
        <w:rPr>
          <w:rFonts w:ascii="Lato" w:hAnsi="Lato"/>
          <w:sz w:val="20"/>
          <w:szCs w:val="20"/>
        </w:rPr>
        <w:t>.</w:t>
      </w:r>
    </w:p>
    <w:p w14:paraId="5E573C41" w14:textId="371888FE" w:rsidR="00894B33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434C5C61" w14:textId="77777777" w:rsidR="005A6C1F" w:rsidRPr="00595272" w:rsidRDefault="005A6C1F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1EAA714C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 xml:space="preserve">• Kryterium „Cena”, którego znaczenie wynosi </w:t>
      </w:r>
      <w:r w:rsidR="007B7631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D865F5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029BE0B0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20 pkt.</w:t>
      </w:r>
    </w:p>
    <w:p w14:paraId="310779B5" w14:textId="1FE069B4" w:rsidR="007B7631" w:rsidRDefault="00D865F5" w:rsidP="00D865F5">
      <w:pPr>
        <w:pStyle w:val="Akapitzlist"/>
        <w:numPr>
          <w:ilvl w:val="0"/>
          <w:numId w:val="28"/>
        </w:numPr>
        <w:spacing w:line="276" w:lineRule="auto"/>
        <w:ind w:left="993" w:hanging="142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Kryterium „</w:t>
      </w:r>
      <w:r>
        <w:rPr>
          <w:rFonts w:ascii="Lato" w:hAnsi="Lato"/>
          <w:sz w:val="20"/>
          <w:szCs w:val="20"/>
        </w:rPr>
        <w:t>Czas wyłączenia z użytkowania obiektu podczas prowadzenia prac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0%. Wykonawca, który zaoferuje na</w:t>
      </w:r>
      <w:r>
        <w:rPr>
          <w:rFonts w:ascii="Lato" w:hAnsi="Lato"/>
          <w:sz w:val="20"/>
          <w:szCs w:val="20"/>
        </w:rPr>
        <w:t>jkrótszy czas otrzyma</w:t>
      </w:r>
      <w:r w:rsidRPr="0059527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 pkt.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5E64F42C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9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5A6C1F">
        <w:rPr>
          <w:rFonts w:ascii="Lato" w:hAnsi="Lato" w:cs="Times New Roman"/>
          <w:bCs/>
          <w:sz w:val="20"/>
          <w:szCs w:val="20"/>
          <w:u w:val="single"/>
        </w:rPr>
        <w:t>8 lipca</w:t>
      </w:r>
      <w:r w:rsidR="00051B72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53E0C218" w:rsidR="009D3581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</w:p>
    <w:p w14:paraId="7082EB48" w14:textId="69891DD1" w:rsidR="00F65842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4C49D416" w14:textId="77777777" w:rsidR="00F65842" w:rsidRPr="00595272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036AB9B4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D92A92">
        <w:rPr>
          <w:rFonts w:ascii="Lato" w:hAnsi="Lato" w:cs="Arial"/>
          <w:sz w:val="20"/>
          <w:szCs w:val="20"/>
        </w:rPr>
        <w:t>30 czerwca</w:t>
      </w:r>
      <w:r w:rsidR="00051B72">
        <w:rPr>
          <w:rFonts w:ascii="Lato" w:hAnsi="Lato" w:cs="Arial"/>
          <w:sz w:val="20"/>
          <w:szCs w:val="20"/>
        </w:rPr>
        <w:t xml:space="preserve">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475A1ED1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</w:t>
      </w:r>
      <w:r w:rsidRPr="00595272">
        <w:rPr>
          <w:rFonts w:ascii="Lato" w:hAnsi="Lato"/>
          <w:sz w:val="20"/>
          <w:szCs w:val="20"/>
        </w:rPr>
        <w:lastRenderedPageBreak/>
        <w:t>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  <w:r w:rsidR="00F65842">
        <w:rPr>
          <w:rFonts w:ascii="Lato" w:hAnsi="Lato"/>
          <w:sz w:val="20"/>
          <w:szCs w:val="20"/>
        </w:rPr>
        <w:t>.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00EE78B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30235148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7909C14D" w:rsidR="00894B33" w:rsidRPr="005A6C1F" w:rsidRDefault="00894B33" w:rsidP="005A6C1F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911AC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10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4163" w14:textId="77777777" w:rsidR="00867730" w:rsidRDefault="00867730" w:rsidP="0011793E">
      <w:pPr>
        <w:spacing w:after="0" w:line="240" w:lineRule="auto"/>
      </w:pPr>
      <w:r>
        <w:separator/>
      </w:r>
    </w:p>
  </w:endnote>
  <w:endnote w:type="continuationSeparator" w:id="0">
    <w:p w14:paraId="3E90BC79" w14:textId="77777777" w:rsidR="00867730" w:rsidRDefault="00867730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A430" w14:textId="77777777" w:rsidR="00867730" w:rsidRDefault="00867730" w:rsidP="0011793E">
      <w:pPr>
        <w:spacing w:after="0" w:line="240" w:lineRule="auto"/>
      </w:pPr>
      <w:r>
        <w:separator/>
      </w:r>
    </w:p>
  </w:footnote>
  <w:footnote w:type="continuationSeparator" w:id="0">
    <w:p w14:paraId="532641C7" w14:textId="77777777" w:rsidR="00867730" w:rsidRDefault="00867730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2BB57DA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7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2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0186D"/>
    <w:multiLevelType w:val="multilevel"/>
    <w:tmpl w:val="4E34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7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F93"/>
    <w:multiLevelType w:val="multilevel"/>
    <w:tmpl w:val="FADEA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9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2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519662">
    <w:abstractNumId w:val="14"/>
  </w:num>
  <w:num w:numId="2" w16cid:durableId="1134760317">
    <w:abstractNumId w:val="26"/>
  </w:num>
  <w:num w:numId="3" w16cid:durableId="1611081611">
    <w:abstractNumId w:val="9"/>
  </w:num>
  <w:num w:numId="4" w16cid:durableId="134877492">
    <w:abstractNumId w:val="12"/>
  </w:num>
  <w:num w:numId="5" w16cid:durableId="854032213">
    <w:abstractNumId w:val="19"/>
  </w:num>
  <w:num w:numId="6" w16cid:durableId="1651061300">
    <w:abstractNumId w:val="22"/>
  </w:num>
  <w:num w:numId="7" w16cid:durableId="1585531997">
    <w:abstractNumId w:val="29"/>
  </w:num>
  <w:num w:numId="8" w16cid:durableId="1390110030">
    <w:abstractNumId w:val="27"/>
  </w:num>
  <w:num w:numId="9" w16cid:durableId="487789384">
    <w:abstractNumId w:val="20"/>
  </w:num>
  <w:num w:numId="10" w16cid:durableId="1825244654">
    <w:abstractNumId w:val="23"/>
  </w:num>
  <w:num w:numId="11" w16cid:durableId="712777791">
    <w:abstractNumId w:val="4"/>
  </w:num>
  <w:num w:numId="12" w16cid:durableId="2087065991">
    <w:abstractNumId w:val="17"/>
  </w:num>
  <w:num w:numId="13" w16cid:durableId="503210509">
    <w:abstractNumId w:val="3"/>
  </w:num>
  <w:num w:numId="14" w16cid:durableId="1296182313">
    <w:abstractNumId w:val="15"/>
  </w:num>
  <w:num w:numId="15" w16cid:durableId="1572691214">
    <w:abstractNumId w:val="2"/>
  </w:num>
  <w:num w:numId="16" w16cid:durableId="352271524">
    <w:abstractNumId w:val="21"/>
  </w:num>
  <w:num w:numId="17" w16cid:durableId="1828938556">
    <w:abstractNumId w:val="18"/>
  </w:num>
  <w:num w:numId="18" w16cid:durableId="1908763981">
    <w:abstractNumId w:val="7"/>
  </w:num>
  <w:num w:numId="19" w16cid:durableId="1441754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1956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044296">
    <w:abstractNumId w:val="24"/>
  </w:num>
  <w:num w:numId="22" w16cid:durableId="526917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8680342">
    <w:abstractNumId w:val="28"/>
  </w:num>
  <w:num w:numId="24" w16cid:durableId="553348577">
    <w:abstractNumId w:val="11"/>
  </w:num>
  <w:num w:numId="25" w16cid:durableId="1843541077">
    <w:abstractNumId w:val="5"/>
  </w:num>
  <w:num w:numId="26" w16cid:durableId="1227494292">
    <w:abstractNumId w:val="0"/>
  </w:num>
  <w:num w:numId="27" w16cid:durableId="1905725361">
    <w:abstractNumId w:val="1"/>
  </w:num>
  <w:num w:numId="28" w16cid:durableId="1162744644">
    <w:abstractNumId w:val="13"/>
  </w:num>
  <w:num w:numId="29" w16cid:durableId="1825930301">
    <w:abstractNumId w:val="6"/>
  </w:num>
  <w:num w:numId="30" w16cid:durableId="285309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2354D"/>
    <w:rsid w:val="0005093C"/>
    <w:rsid w:val="00050E7E"/>
    <w:rsid w:val="00051B72"/>
    <w:rsid w:val="0005531C"/>
    <w:rsid w:val="00056481"/>
    <w:rsid w:val="000824D0"/>
    <w:rsid w:val="00096D26"/>
    <w:rsid w:val="000C0316"/>
    <w:rsid w:val="000C45C5"/>
    <w:rsid w:val="000F1082"/>
    <w:rsid w:val="0011793E"/>
    <w:rsid w:val="00130EE4"/>
    <w:rsid w:val="00146A0E"/>
    <w:rsid w:val="001505F3"/>
    <w:rsid w:val="00155225"/>
    <w:rsid w:val="001B7875"/>
    <w:rsid w:val="001E67EB"/>
    <w:rsid w:val="00282FCD"/>
    <w:rsid w:val="002849C9"/>
    <w:rsid w:val="002B583D"/>
    <w:rsid w:val="002C4166"/>
    <w:rsid w:val="002D2D82"/>
    <w:rsid w:val="002E20B2"/>
    <w:rsid w:val="002F139B"/>
    <w:rsid w:val="003014B6"/>
    <w:rsid w:val="00307D1B"/>
    <w:rsid w:val="003170D8"/>
    <w:rsid w:val="00365561"/>
    <w:rsid w:val="00370384"/>
    <w:rsid w:val="00373ADB"/>
    <w:rsid w:val="00374B87"/>
    <w:rsid w:val="00384314"/>
    <w:rsid w:val="00390033"/>
    <w:rsid w:val="003C130E"/>
    <w:rsid w:val="003D298A"/>
    <w:rsid w:val="003E7A97"/>
    <w:rsid w:val="003F5DE4"/>
    <w:rsid w:val="00400B23"/>
    <w:rsid w:val="00454111"/>
    <w:rsid w:val="00464588"/>
    <w:rsid w:val="00471DFC"/>
    <w:rsid w:val="00473A63"/>
    <w:rsid w:val="00492D29"/>
    <w:rsid w:val="004B62F6"/>
    <w:rsid w:val="004C5B7D"/>
    <w:rsid w:val="004E386B"/>
    <w:rsid w:val="004E3BF9"/>
    <w:rsid w:val="004F3291"/>
    <w:rsid w:val="005014FE"/>
    <w:rsid w:val="00511AC2"/>
    <w:rsid w:val="00543021"/>
    <w:rsid w:val="00545AD2"/>
    <w:rsid w:val="0057438D"/>
    <w:rsid w:val="00591818"/>
    <w:rsid w:val="00595272"/>
    <w:rsid w:val="005A0734"/>
    <w:rsid w:val="005A1573"/>
    <w:rsid w:val="005A6C1F"/>
    <w:rsid w:val="005A7238"/>
    <w:rsid w:val="005D5A3C"/>
    <w:rsid w:val="006007F4"/>
    <w:rsid w:val="006172B2"/>
    <w:rsid w:val="00623CB7"/>
    <w:rsid w:val="00661701"/>
    <w:rsid w:val="006900C1"/>
    <w:rsid w:val="00697735"/>
    <w:rsid w:val="006C66D2"/>
    <w:rsid w:val="006F55BD"/>
    <w:rsid w:val="007420B6"/>
    <w:rsid w:val="00747204"/>
    <w:rsid w:val="00767662"/>
    <w:rsid w:val="007B4911"/>
    <w:rsid w:val="007B7631"/>
    <w:rsid w:val="007F27D2"/>
    <w:rsid w:val="00824501"/>
    <w:rsid w:val="00843CBC"/>
    <w:rsid w:val="008511C2"/>
    <w:rsid w:val="00867730"/>
    <w:rsid w:val="00894B33"/>
    <w:rsid w:val="008A792F"/>
    <w:rsid w:val="008D5A4E"/>
    <w:rsid w:val="008D76CB"/>
    <w:rsid w:val="00911AC4"/>
    <w:rsid w:val="00937EA2"/>
    <w:rsid w:val="0094767C"/>
    <w:rsid w:val="00974DD6"/>
    <w:rsid w:val="00980938"/>
    <w:rsid w:val="009D3581"/>
    <w:rsid w:val="009D6D11"/>
    <w:rsid w:val="009E6808"/>
    <w:rsid w:val="00A15A5E"/>
    <w:rsid w:val="00A15BDE"/>
    <w:rsid w:val="00A16EAB"/>
    <w:rsid w:val="00A529F2"/>
    <w:rsid w:val="00A85BD1"/>
    <w:rsid w:val="00A85C4D"/>
    <w:rsid w:val="00AD5395"/>
    <w:rsid w:val="00AD7A36"/>
    <w:rsid w:val="00B321DE"/>
    <w:rsid w:val="00B35251"/>
    <w:rsid w:val="00B74ED6"/>
    <w:rsid w:val="00B80F2C"/>
    <w:rsid w:val="00B9186D"/>
    <w:rsid w:val="00BC2EA6"/>
    <w:rsid w:val="00BC77DB"/>
    <w:rsid w:val="00BE4DE3"/>
    <w:rsid w:val="00BF6E1E"/>
    <w:rsid w:val="00C06344"/>
    <w:rsid w:val="00C06422"/>
    <w:rsid w:val="00C475F6"/>
    <w:rsid w:val="00C634BF"/>
    <w:rsid w:val="00CC6C1D"/>
    <w:rsid w:val="00D43F41"/>
    <w:rsid w:val="00D63D68"/>
    <w:rsid w:val="00D865F5"/>
    <w:rsid w:val="00D92A92"/>
    <w:rsid w:val="00DA162D"/>
    <w:rsid w:val="00DC4DC5"/>
    <w:rsid w:val="00DE3DAA"/>
    <w:rsid w:val="00DE4FF9"/>
    <w:rsid w:val="00DF7836"/>
    <w:rsid w:val="00E1641D"/>
    <w:rsid w:val="00E16D72"/>
    <w:rsid w:val="00E200EA"/>
    <w:rsid w:val="00E22472"/>
    <w:rsid w:val="00E47093"/>
    <w:rsid w:val="00E503F9"/>
    <w:rsid w:val="00E5572D"/>
    <w:rsid w:val="00E5768F"/>
    <w:rsid w:val="00E61528"/>
    <w:rsid w:val="00E82797"/>
    <w:rsid w:val="00E83802"/>
    <w:rsid w:val="00EB5154"/>
    <w:rsid w:val="00EB63B2"/>
    <w:rsid w:val="00ED0B5D"/>
    <w:rsid w:val="00EF14A9"/>
    <w:rsid w:val="00F058C4"/>
    <w:rsid w:val="00F32F05"/>
    <w:rsid w:val="00F62090"/>
    <w:rsid w:val="00F65842"/>
    <w:rsid w:val="00F65FF5"/>
    <w:rsid w:val="00F94587"/>
    <w:rsid w:val="00F95C82"/>
    <w:rsid w:val="00FA3A3F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goldentulipmiedzyzdro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prokopiu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4</cp:revision>
  <cp:lastPrinted>2018-07-12T10:37:00Z</cp:lastPrinted>
  <dcterms:created xsi:type="dcterms:W3CDTF">2022-06-09T09:11:00Z</dcterms:created>
  <dcterms:modified xsi:type="dcterms:W3CDTF">2022-06-09T11:55:00Z</dcterms:modified>
</cp:coreProperties>
</file>